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2E" w:rsidRPr="00DC6D5D" w:rsidRDefault="0070112E" w:rsidP="0070112E">
      <w:pPr>
        <w:keepNext/>
        <w:spacing w:before="240" w:after="60"/>
        <w:ind w:left="5529"/>
        <w:jc w:val="right"/>
        <w:outlineLvl w:val="0"/>
        <w:rPr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>
        <w:rPr>
          <w:b/>
          <w:bCs/>
          <w:kern w:val="32"/>
          <w:sz w:val="32"/>
          <w:szCs w:val="32"/>
          <w:lang w:eastAsia="x-none"/>
        </w:rPr>
        <w:t>1 część „A”</w:t>
      </w:r>
      <w:r w:rsidR="009E0B10">
        <w:rPr>
          <w:b/>
          <w:bCs/>
          <w:kern w:val="32"/>
          <w:sz w:val="32"/>
          <w:szCs w:val="32"/>
          <w:lang w:eastAsia="x-none"/>
        </w:rPr>
        <w:t>-</w:t>
      </w:r>
      <w:bookmarkStart w:id="2" w:name="_GoBack"/>
      <w:bookmarkEnd w:id="2"/>
      <w:r>
        <w:rPr>
          <w:b/>
          <w:bCs/>
          <w:kern w:val="32"/>
          <w:sz w:val="32"/>
          <w:szCs w:val="32"/>
          <w:lang w:eastAsia="x-none"/>
        </w:rPr>
        <w:t xml:space="preserve"> do SWZ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Pr="00E04070">
              <w:rPr>
                <w:iCs/>
                <w:spacing w:val="-1"/>
              </w:rPr>
              <w:t>.</w:t>
            </w:r>
            <w:r w:rsidRPr="001A263B">
              <w:rPr>
                <w:iCs/>
                <w:spacing w:val="-1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oraz świadectwa </w:t>
            </w:r>
            <w:r w:rsidR="001B2C4F">
              <w:rPr>
                <w:iCs/>
                <w:spacing w:val="-1"/>
              </w:rPr>
              <w:lastRenderedPageBreak/>
              <w:t>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E04070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Pr="001A263B">
              <w:rPr>
                <w:rFonts w:cs="Arial"/>
                <w:sz w:val="20"/>
                <w:szCs w:val="20"/>
              </w:rPr>
              <w:t>Dokładne jej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>, jako konstrukcja samonośna o nieograniczonej odporności na korozję. Wewnętrzne poszycia bocznych skrytek wyłożone anodowaną gładką blachą aluminiową, spody schowków- blachą  nierdzewną</w:t>
            </w:r>
            <w:r w:rsidR="00C941A9" w:rsidRPr="001A263B">
              <w:t xml:space="preserve"> gładką bez progu,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>. Rama pośrednia stal gatunkowa zabezpieczona w procesie produkcji przed korozją (malowanie + konserwacja)</w:t>
            </w:r>
            <w:r w:rsidR="007C7B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</w:t>
            </w:r>
            <w:r w:rsidRPr="001A263B">
              <w:lastRenderedPageBreak/>
              <w:t>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6F5760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="006F5760" w:rsidRPr="006F5760">
              <w:t>Zawieszenie osi przedniej, resory paraboliczne, amortyzatory teleskopowe, stabilizator przechyłów, zawieszenie osi tylnej pneumatyczne.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lastRenderedPageBreak/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1B4851">
              <w:t>100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</w:t>
            </w:r>
            <w:r w:rsidR="00B835A6" w:rsidRPr="00B835A6">
              <w:t>typ zawieszenia kabiny pneumatyczny</w:t>
            </w:r>
            <w:r w:rsidR="00B835A6">
              <w:t>,</w:t>
            </w:r>
            <w:r w:rsidR="00B835A6" w:rsidRPr="00B835A6">
              <w:t xml:space="preserve"> </w:t>
            </w:r>
            <w:r w:rsidRPr="001A263B">
              <w:t xml:space="preserve">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r w:rsidR="007F2458">
              <w:rPr>
                <w:sz w:val="20"/>
              </w:rPr>
              <w:t xml:space="preserve">max. 3350 mm, </w:t>
            </w:r>
            <w:r w:rsidR="007F2458" w:rsidRPr="007F2458">
              <w:rPr>
                <w:sz w:val="20"/>
              </w:rPr>
              <w:t>(do 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</w:t>
            </w:r>
            <w:r>
              <w:lastRenderedPageBreak/>
              <w:t>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C654C5" w:rsidP="00B363C5">
            <w:pPr>
              <w:rPr>
                <w:sz w:val="20"/>
                <w:szCs w:val="20"/>
              </w:rPr>
            </w:pP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F71E30" w:rsidRDefault="00286A04" w:rsidP="00286A04">
            <w:pPr>
              <w:rPr>
                <w:sz w:val="20"/>
                <w:szCs w:val="20"/>
              </w:rPr>
            </w:pP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rPr>
                <w:spacing w:val="4"/>
              </w:rPr>
              <w:t xml:space="preserve">Instalacja elektryczna 24V, jednoprzewodowa. </w:t>
            </w:r>
            <w:r w:rsidRPr="001A263B">
              <w:rPr>
                <w:spacing w:val="2"/>
              </w:rPr>
              <w:t xml:space="preserve">Moc alternatora </w:t>
            </w:r>
            <w:r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</w:t>
            </w:r>
            <w:r w:rsidRPr="001A263B">
              <w:lastRenderedPageBreak/>
              <w:t>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10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950C8F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 mocy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</w:t>
            </w:r>
            <w:r w:rsidRPr="001A263B">
              <w:rPr>
                <w:spacing w:val="1"/>
              </w:rPr>
              <w:lastRenderedPageBreak/>
              <w:t xml:space="preserve">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3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bookmarkEnd w:id="3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</w:t>
            </w:r>
            <w:r w:rsidR="002D010D" w:rsidRPr="001A263B">
              <w:lastRenderedPageBreak/>
              <w:t xml:space="preserve">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Działko wodno-pianowe DWP 16 o regulowanej wydajności, umieszczone na dachu zabudowy pojazdu. </w:t>
            </w:r>
          </w:p>
          <w:p w:rsidR="00622F25" w:rsidRPr="001A263B" w:rsidRDefault="00D402F1" w:rsidP="00D402F1">
            <w:pPr>
              <w:pStyle w:val="Tekstpodstawowy"/>
              <w:spacing w:after="0"/>
              <w:ind w:left="72"/>
              <w:rPr>
                <w:highlight w:val="yellow"/>
              </w:rPr>
            </w:pPr>
            <w:r w:rsidRPr="001A263B">
              <w:t>Przy podstawie działka powinien być zamontowany zawór odcinający kulowy ręczny. Zakres obrotu działka w płaszczyźnie pionowej - od kąta limitowanego obrysem pojazdu do min. 75</w:t>
            </w:r>
            <w:r w:rsidRPr="001A263B">
              <w:rPr>
                <w:vertAlign w:val="superscript"/>
              </w:rPr>
              <w:t>o</w:t>
            </w:r>
            <w:r w:rsidRPr="001A263B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lastRenderedPageBreak/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 xml:space="preserve">Układ wodno-pianowy wyposażony w automatyczny dozownik środka pianotwórczego zapewniający uzyskiwanie minimum stężeń 3% i 6% (tolerancja </w:t>
            </w:r>
            <w:r w:rsidRPr="001A263B">
              <w:rPr>
                <w:rFonts w:ascii="Colonna MT" w:hAnsi="Colonna MT" w:cs="Colonna MT"/>
                <w:vertAlign w:val="superscript"/>
              </w:rPr>
              <w:t>±</w:t>
            </w:r>
            <w:r w:rsidRPr="001A263B">
              <w:t>0,5%) oraz 0,5% dla systemu piany sprężonej w pełnym zakresie wydajności pompy. Układ automatycznego dozownika, w którym zmiana przepływu spowodowana np. otwarciem kolejnej linii gaśniczej, nie wymaga zmian nastawu dla utrzymania pierwotnego stężenia.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D402F1">
            <w:pPr>
              <w:pStyle w:val="Tekstpodstawowy"/>
              <w:spacing w:after="0"/>
            </w:pPr>
            <w:r w:rsidRPr="001A263B">
              <w:t>Konstrukcja układu wodno–pianowego powinna umożliwić jego całkowite odwodnienie przy użyciu co najwyżej dwóch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</w:t>
            </w:r>
            <w:r w:rsidRPr="001A263B">
              <w:rPr>
                <w:rFonts w:cs="Arial"/>
                <w:bCs/>
              </w:rPr>
              <w:lastRenderedPageBreak/>
              <w:t>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w przedziale sprzętowym.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 xml:space="preserve"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</w:t>
            </w:r>
            <w:r w:rsidRPr="000A6670">
              <w:lastRenderedPageBreak/>
              <w:t>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CF" w:rsidRDefault="00A907CF" w:rsidP="00902D9D">
      <w:r>
        <w:separator/>
      </w:r>
    </w:p>
  </w:endnote>
  <w:endnote w:type="continuationSeparator" w:id="0">
    <w:p w:rsidR="00A907CF" w:rsidRDefault="00A907CF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CF" w:rsidRDefault="00A907CF" w:rsidP="00902D9D">
      <w:r>
        <w:separator/>
      </w:r>
    </w:p>
  </w:footnote>
  <w:footnote w:type="continuationSeparator" w:id="0">
    <w:p w:rsidR="00A907CF" w:rsidRDefault="00A907CF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403CA7"/>
    <w:rsid w:val="004108E6"/>
    <w:rsid w:val="00440D5F"/>
    <w:rsid w:val="004640EF"/>
    <w:rsid w:val="004C1980"/>
    <w:rsid w:val="004D645F"/>
    <w:rsid w:val="004F0DEE"/>
    <w:rsid w:val="004F3B31"/>
    <w:rsid w:val="005046F6"/>
    <w:rsid w:val="005103CC"/>
    <w:rsid w:val="0051110D"/>
    <w:rsid w:val="00512D93"/>
    <w:rsid w:val="0052309B"/>
    <w:rsid w:val="0052796B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7F77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87C"/>
    <w:rsid w:val="008266CE"/>
    <w:rsid w:val="00827C96"/>
    <w:rsid w:val="008353C6"/>
    <w:rsid w:val="00854330"/>
    <w:rsid w:val="00857345"/>
    <w:rsid w:val="00872A4A"/>
    <w:rsid w:val="00886630"/>
    <w:rsid w:val="008A094E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3A39"/>
    <w:rsid w:val="009F3A71"/>
    <w:rsid w:val="00A12984"/>
    <w:rsid w:val="00A14445"/>
    <w:rsid w:val="00A14B1A"/>
    <w:rsid w:val="00A23A59"/>
    <w:rsid w:val="00A6634D"/>
    <w:rsid w:val="00A83690"/>
    <w:rsid w:val="00A8594B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E0318D"/>
    <w:rsid w:val="00E04070"/>
    <w:rsid w:val="00E139D8"/>
    <w:rsid w:val="00E21523"/>
    <w:rsid w:val="00E3656C"/>
    <w:rsid w:val="00E514E1"/>
    <w:rsid w:val="00E51EE9"/>
    <w:rsid w:val="00E53401"/>
    <w:rsid w:val="00E7503E"/>
    <w:rsid w:val="00E830BE"/>
    <w:rsid w:val="00E97DBB"/>
    <w:rsid w:val="00EB578C"/>
    <w:rsid w:val="00ED0083"/>
    <w:rsid w:val="00ED5B40"/>
    <w:rsid w:val="00F030C5"/>
    <w:rsid w:val="00F04C3E"/>
    <w:rsid w:val="00F0611B"/>
    <w:rsid w:val="00F142EF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5436A7"/>
  <w15:docId w15:val="{A1973DC2-96C5-4BE2-8523-B4D167A9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3D9F9-ECF1-475F-8BB2-E1CDE7A3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21</Pages>
  <Words>6929</Words>
  <Characters>41575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12</cp:revision>
  <cp:lastPrinted>2021-05-05T07:05:00Z</cp:lastPrinted>
  <dcterms:created xsi:type="dcterms:W3CDTF">2021-05-20T11:57:00Z</dcterms:created>
  <dcterms:modified xsi:type="dcterms:W3CDTF">2021-05-25T10:57:00Z</dcterms:modified>
</cp:coreProperties>
</file>